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réplica-à-contestação"/>
    <w:p>
      <w:pPr>
        <w:pStyle w:val="Heading2"/>
      </w:pPr>
      <w:r>
        <w:t xml:space="preserve">Réplica à Contestação</w:t>
      </w:r>
    </w:p>
    <w:p>
      <w:pPr>
        <w:pStyle w:val="FirstParagraph"/>
      </w:pPr>
      <w:r>
        <w:rPr>
          <w:b/>
          <w:bCs/>
        </w:rPr>
        <w:t xml:space="preserve">Processo nº 1234/24.5T8LSB</w:t>
      </w:r>
      <w:r>
        <w:br/>
      </w:r>
      <w:r>
        <w:rPr>
          <w:b/>
          <w:bCs/>
        </w:rPr>
        <w:t xml:space="preserve">Vara:</w:t>
      </w:r>
      <w:r>
        <w:t xml:space="preserve"> </w:t>
      </w:r>
      <w:r>
        <w:t xml:space="preserve">2.ºª Vara Cível do Tribunal Judicial da Comarca de Lisboa</w:t>
      </w:r>
    </w:p>
    <w:p>
      <w:pPr>
        <w:pStyle w:val="BodyText"/>
      </w:pPr>
      <w:r>
        <w:rPr>
          <w:b/>
          <w:bCs/>
        </w:rPr>
        <w:t xml:space="preserve">Autor:</w:t>
      </w:r>
      <w:r>
        <w:t xml:space="preserve"> </w:t>
      </w:r>
      <w:r>
        <w:t xml:space="preserve">XYZ – Serviços de Tecnologia, Lda., NIF 514 789 321, com sede na Rua da Indústria, 45, 1500‑045 Lisboa.</w:t>
      </w:r>
      <w:r>
        <w:br/>
      </w:r>
      <w:r>
        <w:rPr>
          <w:b/>
          <w:bCs/>
        </w:rPr>
        <w:t xml:space="preserve">Réu:</w:t>
      </w:r>
      <w:r>
        <w:t xml:space="preserve"> </w:t>
      </w:r>
      <w:r>
        <w:t xml:space="preserve">ABC – Consultoria Empresarial, Lda., NIF 219 654 873, com sede na Avenida da República, 120, 4000‑123 Porto.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 João Silva, OA 12345, e Dra. Maria Fernandes, OA 67890, ambos advogados inscritos na Ordem dos Advogados.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Start w:id="19" w:name="Xbd6f6f1bf937987efe60378331695847927b7ea"/>
    <w:p>
      <w:pPr>
        <w:pStyle w:val="Heading3"/>
      </w:pPr>
      <w:r>
        <w:t xml:space="preserve">Exmo. Sr. Juiz de Direito da 2.ºª Vara Cível do Tribunal Judicial da Comarca de Lisboa,</w:t>
      </w:r>
    </w:p>
    <w:bookmarkStart w:id="9" w:name="i-síntese-da-contestação"/>
    <w:p>
      <w:pPr>
        <w:pStyle w:val="Heading4"/>
      </w:pPr>
      <w:r>
        <w:t xml:space="preserve">I – SÍNTESE DA CONTESTAÇÃO</w:t>
      </w:r>
    </w:p>
    <w:p>
      <w:pPr>
        <w:pStyle w:val="FirstParagraph"/>
      </w:pPr>
      <w:r>
        <w:t xml:space="preserve">A ré, ABC – Consultoria Empresarial, Lda., apresentou contestação alegando, em síntese, que: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Não houve incumprimento grave</w:t>
      </w:r>
      <w:r>
        <w:t xml:space="preserve">, mas apenas atrasos pontuais, inevitáveis e justificáveis por força maior.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Os pagamentos antecipados</w:t>
      </w:r>
      <w:r>
        <w:t xml:space="preserve"> </w:t>
      </w:r>
      <w:r>
        <w:t xml:space="preserve">foram efetuados em conformidade com as cláusulas contratuais, não podendo ser restituídos.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 resolução do contrato</w:t>
      </w:r>
      <w:r>
        <w:t xml:space="preserve"> </w:t>
      </w:r>
      <w:r>
        <w:t xml:space="preserve">não seria possível, devendo a autora limitar‑se a exigir a execução forçada das obrigações pendentes.</w:t>
      </w:r>
    </w:p>
    <w:p>
      <w:pPr>
        <w:pStyle w:val="FirstParagraph"/>
      </w:pPr>
      <w:r>
        <w:t xml:space="preserve">A presente réplica tem por objetivo refutar, ponto a ponto, as alegações acima expostas, demonstrando a inexistência de fundamento jurídico nas mesmas e reforçando a pretensão inicial da autora.</w:t>
      </w:r>
    </w:p>
    <w:bookmarkEnd w:id="9"/>
    <w:bookmarkStart w:id="14" w:name="ii-refutação-dos-argumentos-da-ré"/>
    <w:p>
      <w:pPr>
        <w:pStyle w:val="Heading4"/>
      </w:pPr>
      <w:r>
        <w:t xml:space="preserve">II – REFUTAÇÃO DOS ARGUMENTOS DA RÉ</w:t>
      </w:r>
    </w:p>
    <w:bookmarkStart w:id="10" w:name="X4a058be5b23a54dbdec6124ea518abd59b1ef6f"/>
    <w:p>
      <w:pPr>
        <w:pStyle w:val="Heading5"/>
      </w:pPr>
      <w:r>
        <w:t xml:space="preserve">1.</w:t>
      </w:r>
      <w:r>
        <w:t xml:space="preserve"> </w:t>
      </w:r>
      <w:r>
        <w:rPr>
          <w:b/>
          <w:bCs/>
        </w:rPr>
        <w:t xml:space="preserve">Incumprimento grave – violação do dever de diligência e qualidade</w:t>
      </w:r>
    </w:p>
    <w:p>
      <w:pPr>
        <w:pStyle w:val="FirstParagraph"/>
      </w:pPr>
      <w:r>
        <w:t xml:space="preserve">A contestação sustenta que os atrasos seriam “pontuais” e “inevitáveis”. Contudo, a prova documental carreada aos autos (e‑mail de 12 de janeiro de 2024, relatório de auditoria de 20 de janeiro de 2024) demonstra que a ré falhou reiteradamente nos prazos de entrega dos módulos de software críticos, totalizando</w:t>
      </w:r>
      <w:r>
        <w:t xml:space="preserve"> </w:t>
      </w:r>
      <w:r>
        <w:rPr>
          <w:b/>
          <w:bCs/>
        </w:rPr>
        <w:t xml:space="preserve">sete (7) incumprimentos</w:t>
      </w:r>
      <w:r>
        <w:t xml:space="preserve"> </w:t>
      </w:r>
      <w:r>
        <w:t xml:space="preserve">superiores a 30 dias, conforme previsto no art.º 483.º do Código Civil (incumprimento grave).</w:t>
      </w:r>
    </w:p>
    <w:p>
      <w:pPr>
        <w:pStyle w:val="BodyText"/>
      </w:pPr>
      <w:r>
        <w:t xml:space="preserve">A jurisprudência do Supremo Tribunal de Justiça (Acórdão de 10 de junho de 2022, Processo n.º 2123/20.2T8LSB) entende que a recorrência de atrasos que comprometam a finalidade do contrato constitui incumprimento grave, autorizando a resolução unilateral por parte do credor.</w:t>
      </w:r>
    </w:p>
    <w:bookmarkEnd w:id="10"/>
    <w:bookmarkStart w:id="11" w:name="inexistência-de-força-maior"/>
    <w:p>
      <w:pPr>
        <w:pStyle w:val="Heading5"/>
      </w:pPr>
      <w:r>
        <w:t xml:space="preserve">2.</w:t>
      </w:r>
      <w:r>
        <w:t xml:space="preserve"> </w:t>
      </w:r>
      <w:r>
        <w:rPr>
          <w:b/>
          <w:bCs/>
        </w:rPr>
        <w:t xml:space="preserve">Inexistência de força maior</w:t>
      </w:r>
    </w:p>
    <w:p>
      <w:pPr>
        <w:pStyle w:val="FirstParagraph"/>
      </w:pPr>
      <w:r>
        <w:t xml:space="preserve">A ré invoca força maior, alegando “problemas técnicos imprevistos”. O art.º 483.º, n.º 2, alínea d) do Código Civil, exige que a situação seja</w:t>
      </w:r>
      <w:r>
        <w:t xml:space="preserve"> </w:t>
      </w:r>
      <w:r>
        <w:rPr>
          <w:b/>
          <w:bCs/>
        </w:rPr>
        <w:t xml:space="preserve">imprevisível, inevitável e exterior ao devedor</w:t>
      </w:r>
      <w:r>
        <w:t xml:space="preserve">. As falhas técnicas alegadas foram, entretanto,</w:t>
      </w:r>
      <w:r>
        <w:t xml:space="preserve"> </w:t>
      </w:r>
      <w:r>
        <w:rPr>
          <w:b/>
          <w:bCs/>
        </w:rPr>
        <w:t xml:space="preserve">previsíveis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repetidamente notificadas</w:t>
      </w:r>
      <w:r>
        <w:t xml:space="preserve"> </w:t>
      </w:r>
      <w:r>
        <w:t xml:space="preserve">pela autora (cópias dos avisos de 05/12/2023, 18/12/2023 e 02/01/2024). A própria ré reconheceu, em reunião de 25 de janeiro de 2024, a possibilidade de mitigação mediante a alocação de recursos adicionais, o que não foi efetuado.</w:t>
      </w:r>
    </w:p>
    <w:bookmarkEnd w:id="11"/>
    <w:bookmarkStart w:id="12" w:name="X8c75d90248691db1300984397f2e71bd43c5d22"/>
    <w:p>
      <w:pPr>
        <w:pStyle w:val="Heading5"/>
      </w:pPr>
      <w:r>
        <w:t xml:space="preserve">3.</w:t>
      </w:r>
      <w:r>
        <w:t xml:space="preserve"> </w:t>
      </w:r>
      <w:r>
        <w:rPr>
          <w:b/>
          <w:bCs/>
        </w:rPr>
        <w:t xml:space="preserve">Pagamentos antecipados – direito à restituição</w:t>
      </w:r>
    </w:p>
    <w:p>
      <w:pPr>
        <w:pStyle w:val="FirstParagraph"/>
      </w:pPr>
      <w:r>
        <w:t xml:space="preserve">O contrato, cláusula 7.º, estabelece que os pagamentos antecipados são</w:t>
      </w:r>
      <w:r>
        <w:t xml:space="preserve"> </w:t>
      </w:r>
      <w:r>
        <w:rPr>
          <w:b/>
          <w:bCs/>
        </w:rPr>
        <w:t xml:space="preserve">reembolsáveis</w:t>
      </w:r>
      <w:r>
        <w:t xml:space="preserve"> </w:t>
      </w:r>
      <w:r>
        <w:t xml:space="preserve">em caso de resolução por incumprimento grave da parte prestadora. A ré, ao aceitar a cláusula, vinculou‑se ao seu cumprimento. A defesa, ao afirmar a impossibilidade de restituição, viola o princípio da pacta sunt servanda e contraria expressamente o disposto contratual.</w:t>
      </w:r>
    </w:p>
    <w:bookmarkEnd w:id="12"/>
    <w:bookmarkStart w:id="13" w:name="impossibilidade-de-execução-forçada"/>
    <w:p>
      <w:pPr>
        <w:pStyle w:val="Heading5"/>
      </w:pPr>
      <w:r>
        <w:t xml:space="preserve">4.</w:t>
      </w:r>
      <w:r>
        <w:t xml:space="preserve"> </w:t>
      </w:r>
      <w:r>
        <w:rPr>
          <w:b/>
          <w:bCs/>
        </w:rPr>
        <w:t xml:space="preserve">Impossibilidade de execução forçada</w:t>
      </w:r>
    </w:p>
    <w:p>
      <w:pPr>
        <w:pStyle w:val="FirstParagraph"/>
      </w:pPr>
      <w:r>
        <w:t xml:space="preserve">A pretensão da ré de que a autora deva exigir a execução forçada dos serviços ignora a natureza essencial dos módulos em causa, cujo atraso inviabiliza a continuidade operacional da XYZ – Serviços de Tecnologia, Lda. O art.º 483.º, n.º 1, do Código Civil, autoriza a resolução do contrato quando o incumprimento “torna impossível a continuação da prestação”.</w:t>
      </w:r>
    </w:p>
    <w:bookmarkEnd w:id="13"/>
    <w:bookmarkEnd w:id="14"/>
    <w:bookmarkStart w:id="15" w:name="iii-fundamentação-legal"/>
    <w:p>
      <w:pPr>
        <w:pStyle w:val="Heading4"/>
      </w:pPr>
      <w:r>
        <w:t xml:space="preserve">III – FUNDAMENTAÇÃO LEGAL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Artigos 483.º e 484.º do Código Civil</w:t>
      </w:r>
      <w:r>
        <w:t xml:space="preserve"> </w:t>
      </w:r>
      <w:r>
        <w:t xml:space="preserve">– Incumprimento grave e resolução unilateral.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Art.º 562.º do Código de Processo Civil</w:t>
      </w:r>
      <w:r>
        <w:t xml:space="preserve"> </w:t>
      </w:r>
      <w:r>
        <w:t xml:space="preserve">– Possibilidade de produção de prova pericial para comprovar a extensão dos danos.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Jurisprudência:</w:t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STJ, Acórdão 2123/20.2T8LSB (10/06/2022)</w:t>
      </w:r>
      <w:r>
        <w:t xml:space="preserve"> </w:t>
      </w:r>
      <w:r>
        <w:t xml:space="preserve">– Reconhecimento de resolução por incumprimento grave em contrato de prestação de serviços tecnológicos.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STJ, Acórdão 1457/19.5T8LSB (15/09/2020)</w:t>
      </w:r>
      <w:r>
        <w:t xml:space="preserve"> </w:t>
      </w:r>
      <w:r>
        <w:t xml:space="preserve">– Restituição de pagamentos antecipados em caso de resolução por culpa do prestador.</w:t>
      </w:r>
    </w:p>
    <w:bookmarkEnd w:id="15"/>
    <w:bookmarkStart w:id="16" w:name="iv-danos-e-perdas"/>
    <w:p>
      <w:pPr>
        <w:pStyle w:val="Heading4"/>
      </w:pPr>
      <w:r>
        <w:t xml:space="preserve">IV – DANOS E PERDAS</w:t>
      </w:r>
    </w:p>
    <w:p>
      <w:pPr>
        <w:pStyle w:val="FirstParagraph"/>
      </w:pPr>
      <w:r>
        <w:t xml:space="preserve">A autora quantifica o prejuízo sofrido da seguinte forma: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Pagamentos antecipados (3 parcelas)</w:t>
            </w:r>
          </w:p>
        </w:tc>
        <w:tc>
          <w:tcPr/>
          <w:p>
            <w:pPr>
              <w:pStyle w:val="Compact"/>
            </w:pPr>
            <w:r>
              <w:t xml:space="preserve">150 000,00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Perda de receita projetada (12 meses)</w:t>
            </w:r>
          </w:p>
        </w:tc>
        <w:tc>
          <w:tcPr/>
          <w:p>
            <w:pPr>
              <w:pStyle w:val="Compact"/>
            </w:pPr>
            <w:r>
              <w:t xml:space="preserve">300 000,00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Custos de substituição de fornecedor</w:t>
            </w:r>
          </w:p>
        </w:tc>
        <w:tc>
          <w:tcPr/>
          <w:p>
            <w:pPr>
              <w:pStyle w:val="Compact"/>
            </w:pPr>
            <w:r>
              <w:t xml:space="preserve">80 000,00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Danos emergentes (consultoria jurídica, auditoria)</w:t>
            </w:r>
          </w:p>
        </w:tc>
        <w:tc>
          <w:tcPr/>
          <w:p>
            <w:pPr>
              <w:pStyle w:val="Compact"/>
            </w:pPr>
            <w:r>
              <w:t xml:space="preserve">45 000,00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575 000,00</w:t>
            </w:r>
          </w:p>
        </w:tc>
      </w:tr>
    </w:tbl>
    <w:p>
      <w:pPr>
        <w:pStyle w:val="BodyText"/>
      </w:pPr>
      <w:r>
        <w:t xml:space="preserve">Os valores acima foram apurados com base em documentos anexos (extratos bancários, relatórios de faturação, pareceres periciais).</w:t>
      </w:r>
    </w:p>
    <w:bookmarkEnd w:id="16"/>
    <w:bookmarkStart w:id="17" w:name="v-pedidos"/>
    <w:p>
      <w:pPr>
        <w:pStyle w:val="Heading4"/>
      </w:pPr>
      <w:r>
        <w:t xml:space="preserve">V – PEDIDOS</w:t>
      </w:r>
    </w:p>
    <w:p>
      <w:pPr>
        <w:pStyle w:val="FirstParagraph"/>
      </w:pPr>
      <w:r>
        <w:t xml:space="preserve">Em face do exposto, a autora requer a V. Exa.: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 declaração de resolução do contrato</w:t>
      </w:r>
      <w:r>
        <w:t xml:space="preserve"> </w:t>
      </w:r>
      <w:r>
        <w:t xml:space="preserve">celebrado em 10 de outubro de 2023, nos termos do art.º 483.º do Código Civil;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 condenação da ré ao pagamento de € 575 000,00 (quinhentos e setenta‑e‑cinco mil euros)</w:t>
      </w:r>
      <w:r>
        <w:t xml:space="preserve"> </w:t>
      </w:r>
      <w:r>
        <w:t xml:space="preserve">a título de indemnização por perdas e danos, acrescidos de juros de mora a partir da data do vencimento de cada obrigação, nos termos do art.º 598.º do Código Civil;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 restituição integral dos pagamentos antecipados</w:t>
      </w:r>
      <w:r>
        <w:t xml:space="preserve"> </w:t>
      </w:r>
      <w:r>
        <w:t xml:space="preserve">(€ 150 000,00), nos termos da cláusula 7.º do contrato;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 condenação da ré ao pagamento das custas processuais e dos honorários de advogado</w:t>
      </w:r>
      <w:r>
        <w:t xml:space="preserve">, nos termos do art.º 85.º do CPC;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 produção de prova pericial contabilística</w:t>
      </w:r>
      <w:r>
        <w:t xml:space="preserve"> </w:t>
      </w:r>
      <w:r>
        <w:t xml:space="preserve">para comprovar a extensão dos prejuízos alegados;</w:t>
      </w:r>
    </w:p>
    <w:p>
      <w:pPr>
        <w:pStyle w:val="FirstParagraph"/>
      </w:pPr>
      <w:r>
        <w:t xml:space="preserve">Protesta‑se, ainda, por todos os meios de prova admitidos em direito, nomeadamente prova documental, testemunhal e pericial.</w:t>
      </w:r>
    </w:p>
    <w:bookmarkEnd w:id="17"/>
    <w:bookmarkStart w:id="18" w:name="vi-conclusão"/>
    <w:p>
      <w:pPr>
        <w:pStyle w:val="Heading4"/>
      </w:pPr>
      <w:r>
        <w:t xml:space="preserve">VI – CONCLUSÃO</w:t>
      </w:r>
    </w:p>
    <w:p>
      <w:pPr>
        <w:pStyle w:val="FirstParagraph"/>
      </w:pPr>
      <w:r>
        <w:t xml:space="preserve">Os argumentos apresentados pela ré são desprovidos de fundamento jurídico e factual. O incumprimento grave, a inexistência de força maior e a obrigação de restituição dos pagamentos antecipados estão claramente demonstrados pelos documentos constantes dos autos. Assim, requer‑se a total procedência dos pedidos iniciais, nos termos acima expostos.</w:t>
      </w:r>
    </w:p>
    <w:p>
      <w:pPr>
        <w:pStyle w:val="BodyText"/>
      </w:pPr>
      <w:r>
        <w:t xml:space="preserve">Nestes termos,</w:t>
      </w:r>
      <w:r>
        <w:br/>
      </w:r>
      <w:r>
        <w:rPr>
          <w:b/>
          <w:bCs/>
        </w:rP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João Silva</w:t>
      </w:r>
      <w:r>
        <w:br/>
      </w:r>
      <w:r>
        <w:t xml:space="preserve">OA 12345 – Advogado</w:t>
      </w:r>
    </w:p>
    <w:p>
      <w:pPr>
        <w:pStyle w:val="BodyText"/>
      </w:pPr>
      <w:r>
        <w:rPr>
          <w:b/>
          <w:bCs/>
        </w:rPr>
        <w:t xml:space="preserve">Dra. Maria Fernandes</w:t>
      </w:r>
      <w:r>
        <w:br/>
      </w:r>
      <w:r>
        <w:t xml:space="preserve">OA 67890 – Advogada</w:t>
      </w:r>
    </w:p>
    <w:bookmarkEnd w:id="18"/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